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159" w:rsidRPr="00D77159" w:rsidRDefault="00D77159" w:rsidP="00D77159">
      <w:pPr>
        <w:spacing w:after="0" w:line="360" w:lineRule="auto"/>
        <w:rPr>
          <w:rFonts w:ascii="Arial" w:eastAsia="Calibri" w:hAnsi="Arial" w:cs="Times New Roman"/>
          <w:spacing w:val="-2"/>
          <w:sz w:val="44"/>
          <w:szCs w:val="44"/>
        </w:rPr>
      </w:pPr>
      <w:bookmarkStart w:id="0" w:name="_GoBack"/>
      <w:bookmarkEnd w:id="0"/>
      <w:r w:rsidRPr="00D77159">
        <w:rPr>
          <w:rFonts w:ascii="Arial" w:eastAsia="Calibri" w:hAnsi="Arial" w:cs="Times New Roman"/>
          <w:spacing w:val="-2"/>
          <w:sz w:val="44"/>
          <w:szCs w:val="44"/>
        </w:rPr>
        <w:t>Maßnahmenplan für den Verantwortlichen zur Umsetzung der DSGVO</w:t>
      </w:r>
    </w:p>
    <w:p w:rsidR="00D77159" w:rsidRPr="00D77159" w:rsidRDefault="00D77159" w:rsidP="00D77159">
      <w:pPr>
        <w:spacing w:after="0" w:line="360" w:lineRule="auto"/>
        <w:rPr>
          <w:rFonts w:ascii="Arial" w:eastAsia="Calibri" w:hAnsi="Arial" w:cs="Times New Roman"/>
          <w:spacing w:val="-2"/>
          <w:szCs w:val="24"/>
        </w:rPr>
      </w:pPr>
      <w:r w:rsidRPr="00D77159">
        <w:rPr>
          <w:rFonts w:ascii="Arial" w:eastAsia="Calibri" w:hAnsi="Arial" w:cs="Times New Roman"/>
          <w:spacing w:val="-2"/>
          <w:szCs w:val="24"/>
        </w:rPr>
        <w:t xml:space="preserve">Die folgende Tabelle enthält einen Überblick über die Maßnahmen zur Umsetzung der datenschutzrechtlichen Verpflichtungen in bayerischen Behörden und sonstigen öffentlichen Stellen. </w:t>
      </w:r>
    </w:p>
    <w:p w:rsidR="00D77159" w:rsidRPr="00D77159" w:rsidRDefault="00D77159" w:rsidP="00D77159">
      <w:pPr>
        <w:spacing w:after="0" w:line="360" w:lineRule="auto"/>
        <w:rPr>
          <w:rFonts w:ascii="Arial" w:eastAsia="Calibri" w:hAnsi="Arial" w:cs="Times New Roman"/>
          <w:sz w:val="8"/>
          <w:szCs w:val="24"/>
        </w:rPr>
      </w:pPr>
    </w:p>
    <w:tbl>
      <w:tblPr>
        <w:tblStyle w:val="Tabellenraster1"/>
        <w:tblW w:w="9072" w:type="dxa"/>
        <w:tblLook w:val="04A0" w:firstRow="1" w:lastRow="0" w:firstColumn="1" w:lastColumn="0" w:noHBand="0" w:noVBand="1"/>
      </w:tblPr>
      <w:tblGrid>
        <w:gridCol w:w="4535"/>
        <w:gridCol w:w="4537"/>
      </w:tblGrid>
      <w:tr w:rsidR="00D77159" w:rsidRPr="00D77159" w:rsidTr="00D77159">
        <w:trPr>
          <w:trHeight w:val="284"/>
        </w:trPr>
        <w:tc>
          <w:tcPr>
            <w:tcW w:w="4530" w:type="dxa"/>
            <w:shd w:val="clear" w:color="auto" w:fill="D9D9D9"/>
            <w:tcMar>
              <w:top w:w="113" w:type="dxa"/>
              <w:bottom w:w="113" w:type="dxa"/>
            </w:tcMar>
            <w:vAlign w:val="bottom"/>
          </w:tcPr>
          <w:p w:rsidR="00D77159" w:rsidRPr="00D77159" w:rsidRDefault="00D77159" w:rsidP="00D77159">
            <w:pPr>
              <w:shd w:val="clear" w:color="auto" w:fill="D9D9D9"/>
              <w:spacing w:line="336" w:lineRule="auto"/>
              <w:jc w:val="center"/>
              <w:rPr>
                <w:rFonts w:ascii="Arial" w:eastAsia="Calibri" w:hAnsi="Arial" w:cs="Arial"/>
                <w:sz w:val="20"/>
              </w:rPr>
            </w:pPr>
            <w:r w:rsidRPr="00D77159">
              <w:rPr>
                <w:rFonts w:ascii="Arial" w:eastAsia="Calibri" w:hAnsi="Arial" w:cs="Arial"/>
                <w:sz w:val="20"/>
              </w:rPr>
              <w:t>Maßnahmen</w:t>
            </w:r>
          </w:p>
        </w:tc>
        <w:tc>
          <w:tcPr>
            <w:tcW w:w="4531" w:type="dxa"/>
            <w:shd w:val="clear" w:color="auto" w:fill="D9D9D9"/>
            <w:tcMar>
              <w:top w:w="113" w:type="dxa"/>
              <w:bottom w:w="113" w:type="dxa"/>
            </w:tcMar>
            <w:vAlign w:val="bottom"/>
          </w:tcPr>
          <w:p w:rsidR="00D77159" w:rsidRPr="00D77159" w:rsidRDefault="00D77159" w:rsidP="00D77159">
            <w:pPr>
              <w:shd w:val="clear" w:color="auto" w:fill="D9D9D9"/>
              <w:spacing w:line="336" w:lineRule="auto"/>
              <w:ind w:left="5"/>
              <w:jc w:val="center"/>
              <w:rPr>
                <w:rFonts w:ascii="Arial" w:eastAsia="Calibri" w:hAnsi="Arial" w:cs="Arial"/>
                <w:sz w:val="20"/>
              </w:rPr>
            </w:pPr>
            <w:r w:rsidRPr="00D77159">
              <w:rPr>
                <w:rFonts w:ascii="Arial" w:eastAsia="Calibri" w:hAnsi="Arial" w:cs="Arial"/>
                <w:sz w:val="20"/>
              </w:rPr>
              <w:t>Anmerkungen</w:t>
            </w:r>
          </w:p>
        </w:tc>
      </w:tr>
      <w:tr w:rsidR="00D77159" w:rsidRPr="00D77159" w:rsidTr="005C7519">
        <w:trPr>
          <w:trHeight w:val="397"/>
        </w:trPr>
        <w:tc>
          <w:tcPr>
            <w:tcW w:w="4530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ind w:left="284" w:hanging="284"/>
              <w:rPr>
                <w:rFonts w:ascii="Arial" w:eastAsia="Calibri" w:hAnsi="Arial" w:cs="Arial"/>
                <w:b/>
                <w:sz w:val="20"/>
              </w:rPr>
            </w:pPr>
            <w:r w:rsidRPr="00D77159">
              <w:rPr>
                <w:rFonts w:ascii="Arial" w:eastAsia="Calibri" w:hAnsi="Arial" w:cs="Arial"/>
                <w:b/>
                <w:sz w:val="20"/>
              </w:rPr>
              <w:t>1.</w:t>
            </w:r>
            <w:r w:rsidRPr="00D77159">
              <w:rPr>
                <w:rFonts w:ascii="Arial" w:eastAsia="Calibri" w:hAnsi="Arial" w:cs="Arial"/>
                <w:b/>
                <w:sz w:val="20"/>
              </w:rPr>
              <w:tab/>
              <w:t>Festlegung, wer in der Behörde welche Aufgaben nach der DSGVO übernimmt.</w:t>
            </w:r>
          </w:p>
        </w:tc>
        <w:tc>
          <w:tcPr>
            <w:tcW w:w="4531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rPr>
                <w:rFonts w:ascii="Arial" w:eastAsia="Calibri" w:hAnsi="Arial" w:cs="Arial"/>
                <w:i/>
                <w:sz w:val="20"/>
              </w:rPr>
            </w:pPr>
          </w:p>
        </w:tc>
      </w:tr>
      <w:tr w:rsidR="00D77159" w:rsidRPr="00D77159" w:rsidTr="005C7519">
        <w:trPr>
          <w:trHeight w:val="397"/>
        </w:trPr>
        <w:tc>
          <w:tcPr>
            <w:tcW w:w="4530" w:type="dxa"/>
            <w:tcMar>
              <w:top w:w="57" w:type="dxa"/>
              <w:bottom w:w="0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ind w:left="284" w:hanging="284"/>
              <w:rPr>
                <w:rFonts w:ascii="Arial" w:eastAsia="Calibri" w:hAnsi="Arial" w:cs="Arial"/>
                <w:b/>
                <w:sz w:val="20"/>
              </w:rPr>
            </w:pPr>
            <w:r w:rsidRPr="00D77159">
              <w:rPr>
                <w:rFonts w:ascii="Arial" w:eastAsia="Calibri" w:hAnsi="Arial" w:cs="Arial"/>
                <w:b/>
                <w:sz w:val="20"/>
              </w:rPr>
              <w:t>2.</w:t>
            </w:r>
            <w:r w:rsidRPr="00D77159">
              <w:rPr>
                <w:rFonts w:ascii="Arial" w:eastAsia="Calibri" w:hAnsi="Arial" w:cs="Arial"/>
                <w:b/>
                <w:sz w:val="20"/>
              </w:rPr>
              <w:tab/>
              <w:t>Benennung / Bestellung eines / einer</w:t>
            </w:r>
            <w:r w:rsidRPr="00D77159">
              <w:rPr>
                <w:rFonts w:ascii="Arial" w:eastAsia="Calibri" w:hAnsi="Arial" w:cs="Arial"/>
                <w:b/>
                <w:sz w:val="20"/>
              </w:rPr>
              <w:br/>
              <w:t>behördlichen Datenschutzbeauftragten (</w:t>
            </w:r>
            <w:proofErr w:type="spellStart"/>
            <w:r w:rsidRPr="00D77159">
              <w:rPr>
                <w:rFonts w:ascii="Arial" w:eastAsia="Calibri" w:hAnsi="Arial" w:cs="Arial"/>
                <w:b/>
                <w:sz w:val="20"/>
              </w:rPr>
              <w:t>bDSB</w:t>
            </w:r>
            <w:proofErr w:type="spellEnd"/>
            <w:r w:rsidRPr="00D77159">
              <w:rPr>
                <w:rFonts w:ascii="Arial" w:eastAsia="Calibri" w:hAnsi="Arial" w:cs="Arial"/>
                <w:b/>
                <w:sz w:val="20"/>
              </w:rPr>
              <w:t xml:space="preserve">) und einer Stellvertretung gem. Art. 37 DSGVO und Art. 12 </w:t>
            </w:r>
            <w:proofErr w:type="spellStart"/>
            <w:r w:rsidRPr="00D77159">
              <w:rPr>
                <w:rFonts w:ascii="Arial" w:eastAsia="Calibri" w:hAnsi="Arial" w:cs="Arial"/>
                <w:b/>
                <w:sz w:val="20"/>
              </w:rPr>
              <w:t>BayDSG</w:t>
            </w:r>
            <w:proofErr w:type="spellEnd"/>
          </w:p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rPr>
                <w:rFonts w:ascii="Arial" w:eastAsia="Calibri" w:hAnsi="Arial" w:cs="Arial"/>
                <w:b/>
                <w:sz w:val="20"/>
              </w:rPr>
            </w:pPr>
          </w:p>
        </w:tc>
        <w:tc>
          <w:tcPr>
            <w:tcW w:w="4531" w:type="dxa"/>
            <w:tcMar>
              <w:top w:w="57" w:type="dxa"/>
              <w:bottom w:w="0" w:type="dxa"/>
            </w:tcMar>
          </w:tcPr>
          <w:p w:rsidR="00D77159" w:rsidRPr="00D77159" w:rsidRDefault="00D77159" w:rsidP="00D77159">
            <w:pPr>
              <w:numPr>
                <w:ilvl w:val="0"/>
                <w:numId w:val="1"/>
              </w:numPr>
              <w:tabs>
                <w:tab w:val="left" w:pos="431"/>
              </w:tabs>
              <w:spacing w:after="120" w:line="336" w:lineRule="auto"/>
              <w:ind w:left="284" w:hanging="284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 xml:space="preserve">Öffentliche Stellen haben in jedem Fall eine(n) </w:t>
            </w:r>
            <w:proofErr w:type="spellStart"/>
            <w:r w:rsidRPr="00D77159">
              <w:rPr>
                <w:rFonts w:ascii="Arial" w:eastAsia="Calibri" w:hAnsi="Arial" w:cs="Arial"/>
                <w:i/>
                <w:sz w:val="20"/>
              </w:rPr>
              <w:t>bDSB</w:t>
            </w:r>
            <w:proofErr w:type="spellEnd"/>
            <w:r w:rsidRPr="00D77159">
              <w:rPr>
                <w:rFonts w:ascii="Arial" w:eastAsia="Calibri" w:hAnsi="Arial" w:cs="Arial"/>
                <w:i/>
                <w:sz w:val="20"/>
              </w:rPr>
              <w:t xml:space="preserve"> zu benennen (Art. 37 Abs. 1 Buchst. a DSGVO)</w:t>
            </w:r>
          </w:p>
          <w:p w:rsidR="00D77159" w:rsidRPr="00D77159" w:rsidRDefault="00D77159" w:rsidP="00D77159">
            <w:pPr>
              <w:numPr>
                <w:ilvl w:val="0"/>
                <w:numId w:val="1"/>
              </w:numPr>
              <w:tabs>
                <w:tab w:val="left" w:pos="431"/>
              </w:tabs>
              <w:spacing w:after="120" w:line="336" w:lineRule="auto"/>
              <w:ind w:left="284" w:hanging="284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>Auswahl geeigneter Personen im Sinne von Art. 37 Abs. 5 DSGVO.</w:t>
            </w:r>
          </w:p>
          <w:p w:rsidR="00D77159" w:rsidRPr="00D77159" w:rsidRDefault="00D77159" w:rsidP="00D77159">
            <w:pPr>
              <w:numPr>
                <w:ilvl w:val="0"/>
                <w:numId w:val="1"/>
              </w:numPr>
              <w:tabs>
                <w:tab w:val="left" w:pos="431"/>
              </w:tabs>
              <w:spacing w:after="120" w:line="336" w:lineRule="auto"/>
              <w:ind w:left="284" w:hanging="284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 xml:space="preserve"> DSB muss nicht zwingend ein(e) Beschäftigte(r) des Verantwortlichen sein.</w:t>
            </w:r>
          </w:p>
          <w:p w:rsidR="00D77159" w:rsidRPr="00D77159" w:rsidRDefault="00D77159" w:rsidP="00D77159">
            <w:pPr>
              <w:numPr>
                <w:ilvl w:val="0"/>
                <w:numId w:val="1"/>
              </w:numPr>
              <w:tabs>
                <w:tab w:val="left" w:pos="431"/>
              </w:tabs>
              <w:spacing w:after="120" w:line="336" w:lineRule="auto"/>
              <w:ind w:left="284" w:hanging="284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 xml:space="preserve">Die Benennung eines/r gemeinsamen </w:t>
            </w:r>
            <w:proofErr w:type="spellStart"/>
            <w:r w:rsidRPr="00D77159">
              <w:rPr>
                <w:rFonts w:ascii="Arial" w:eastAsia="Calibri" w:hAnsi="Arial" w:cs="Arial"/>
                <w:i/>
                <w:sz w:val="20"/>
              </w:rPr>
              <w:t>bDSB</w:t>
            </w:r>
            <w:proofErr w:type="spellEnd"/>
            <w:r w:rsidRPr="00D77159">
              <w:rPr>
                <w:rFonts w:ascii="Arial" w:eastAsia="Calibri" w:hAnsi="Arial" w:cs="Arial"/>
                <w:i/>
                <w:sz w:val="20"/>
              </w:rPr>
              <w:t xml:space="preserve"> / Stellvertretung für mehrere Verantwortliche ist möglich (Art. 37 Abs. 3 DSGVO; </w:t>
            </w:r>
            <w:r w:rsidRPr="00D77159">
              <w:rPr>
                <w:rFonts w:ascii="Arial" w:eastAsia="Calibri" w:hAnsi="Arial" w:cs="Arial"/>
                <w:b/>
                <w:i/>
                <w:sz w:val="20"/>
              </w:rPr>
              <w:t>siehe hierzu auch das Muster einer Zweckvereinbarung für die Zusammenarbeit im Datenschutz in Kapitel 13 dieser Arbeitshilfen</w:t>
            </w:r>
            <w:r w:rsidRPr="00D77159">
              <w:rPr>
                <w:rFonts w:ascii="Arial" w:eastAsia="Calibri" w:hAnsi="Arial" w:cs="Arial"/>
                <w:i/>
                <w:sz w:val="20"/>
              </w:rPr>
              <w:t>).</w:t>
            </w:r>
          </w:p>
          <w:p w:rsidR="00D77159" w:rsidRPr="00D77159" w:rsidRDefault="00D77159" w:rsidP="00D77159">
            <w:pPr>
              <w:numPr>
                <w:ilvl w:val="0"/>
                <w:numId w:val="1"/>
              </w:numPr>
              <w:tabs>
                <w:tab w:val="left" w:pos="431"/>
              </w:tabs>
              <w:spacing w:after="120" w:line="336" w:lineRule="auto"/>
              <w:ind w:left="284" w:hanging="284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 xml:space="preserve">Bestellung/Benennung dokumentieren, ggf. zuvor eine Benennung vom Gemeinde-/ Stadtrat beschließen lassen. </w:t>
            </w:r>
            <w:r w:rsidRPr="00D77159">
              <w:rPr>
                <w:rFonts w:ascii="Arial" w:eastAsia="Calibri" w:hAnsi="Arial" w:cs="Arial"/>
                <w:b/>
                <w:i/>
                <w:sz w:val="20"/>
              </w:rPr>
              <w:t>Kapitel 4 dieser Arbeitshilfen enthält ein Muster für ein Benennungsschreiben.</w:t>
            </w:r>
          </w:p>
          <w:p w:rsidR="00D77159" w:rsidRPr="00D77159" w:rsidRDefault="00D77159" w:rsidP="00D77159">
            <w:pPr>
              <w:numPr>
                <w:ilvl w:val="0"/>
                <w:numId w:val="1"/>
              </w:numPr>
              <w:tabs>
                <w:tab w:val="left" w:pos="431"/>
              </w:tabs>
              <w:spacing w:after="120" w:line="336" w:lineRule="auto"/>
              <w:ind w:left="284" w:hanging="284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 xml:space="preserve">Aufgabenbereich des/der DSB festlegen (Art. 39 Abs. 1 DSGVO, Art. 12 Abs. 1 </w:t>
            </w:r>
            <w:proofErr w:type="spellStart"/>
            <w:r w:rsidRPr="00D77159">
              <w:rPr>
                <w:rFonts w:ascii="Arial" w:eastAsia="Calibri" w:hAnsi="Arial" w:cs="Arial"/>
                <w:i/>
                <w:sz w:val="20"/>
              </w:rPr>
              <w:t>BayDSG</w:t>
            </w:r>
            <w:proofErr w:type="spellEnd"/>
            <w:r w:rsidRPr="00D77159">
              <w:rPr>
                <w:rFonts w:ascii="Arial" w:eastAsia="Calibri" w:hAnsi="Arial" w:cs="Arial"/>
                <w:i/>
                <w:sz w:val="20"/>
              </w:rPr>
              <w:t xml:space="preserve">, </w:t>
            </w:r>
            <w:r w:rsidRPr="00D77159">
              <w:rPr>
                <w:rFonts w:ascii="Arial" w:eastAsia="Calibri" w:hAnsi="Arial" w:cs="Arial"/>
                <w:b/>
                <w:i/>
                <w:sz w:val="20"/>
              </w:rPr>
              <w:t>Kapitel 4 dieser Arbeitshilfen enthält eine Übersicht zu den Aufgaben des/der DSB</w:t>
            </w:r>
            <w:r w:rsidRPr="00D77159">
              <w:rPr>
                <w:rFonts w:ascii="Arial" w:eastAsia="Calibri" w:hAnsi="Arial" w:cs="Arial"/>
                <w:i/>
                <w:sz w:val="20"/>
              </w:rPr>
              <w:t>).</w:t>
            </w:r>
          </w:p>
          <w:p w:rsidR="00D77159" w:rsidRPr="00D77159" w:rsidRDefault="00D77159" w:rsidP="00D77159">
            <w:pPr>
              <w:numPr>
                <w:ilvl w:val="0"/>
                <w:numId w:val="1"/>
              </w:numPr>
              <w:tabs>
                <w:tab w:val="left" w:pos="431"/>
              </w:tabs>
              <w:spacing w:line="336" w:lineRule="auto"/>
              <w:ind w:left="284" w:hanging="284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>Kontaktdaten des/der DSB veröffentlichen (Art. 37 Abs. 7 DSGVO) und der Aufsichtsbehörde melden.</w:t>
            </w:r>
            <w:r w:rsidRPr="00D77159">
              <w:rPr>
                <w:rFonts w:ascii="Arial" w:eastAsia="Calibri" w:hAnsi="Arial" w:cs="Arial"/>
                <w:i/>
                <w:sz w:val="20"/>
                <w:vertAlign w:val="superscript"/>
              </w:rPr>
              <w:footnoteReference w:id="1"/>
            </w:r>
          </w:p>
        </w:tc>
      </w:tr>
      <w:tr w:rsidR="00D77159" w:rsidRPr="00D77159" w:rsidTr="005C7519">
        <w:trPr>
          <w:trHeight w:val="397"/>
        </w:trPr>
        <w:tc>
          <w:tcPr>
            <w:tcW w:w="4530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ind w:left="284" w:hanging="284"/>
              <w:rPr>
                <w:rFonts w:ascii="Arial" w:eastAsia="Calibri" w:hAnsi="Arial" w:cs="Arial"/>
                <w:b/>
                <w:sz w:val="20"/>
              </w:rPr>
            </w:pPr>
            <w:r w:rsidRPr="00D77159">
              <w:rPr>
                <w:rFonts w:ascii="Arial" w:eastAsia="Calibri" w:hAnsi="Arial" w:cs="Arial"/>
                <w:b/>
                <w:sz w:val="20"/>
              </w:rPr>
              <w:lastRenderedPageBreak/>
              <w:t>3.</w:t>
            </w:r>
            <w:r w:rsidRPr="00D77159">
              <w:rPr>
                <w:rFonts w:ascii="Arial" w:eastAsia="Calibri" w:hAnsi="Arial" w:cs="Arial"/>
                <w:b/>
                <w:sz w:val="20"/>
              </w:rPr>
              <w:tab/>
              <w:t>Erlass einer Geschäftsordnung zum</w:t>
            </w:r>
            <w:r w:rsidRPr="00D77159">
              <w:rPr>
                <w:rFonts w:ascii="Arial" w:eastAsia="Calibri" w:hAnsi="Arial" w:cs="Arial"/>
                <w:b/>
                <w:sz w:val="20"/>
              </w:rPr>
              <w:br/>
              <w:t xml:space="preserve">Datenschutz </w:t>
            </w:r>
          </w:p>
        </w:tc>
        <w:tc>
          <w:tcPr>
            <w:tcW w:w="4531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after="120" w:line="336" w:lineRule="auto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 xml:space="preserve">Datenschutzrechtliche Zuständigkeiten müssen konkret einzelnen Organisationseinheiten oder Personen innerhalb der öffentlichen Stelle zugewiesen und notwendige Verfahrensabläufe festgelegt werden. </w:t>
            </w:r>
          </w:p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rPr>
                <w:rFonts w:ascii="Arial" w:eastAsia="Calibri" w:hAnsi="Arial" w:cs="Arial"/>
                <w:b/>
                <w:i/>
                <w:sz w:val="20"/>
              </w:rPr>
            </w:pPr>
            <w:r w:rsidRPr="00D77159">
              <w:rPr>
                <w:rFonts w:ascii="Arial" w:eastAsia="Calibri" w:hAnsi="Arial" w:cs="Arial"/>
                <w:b/>
                <w:i/>
                <w:sz w:val="20"/>
              </w:rPr>
              <w:t>Näheres hierzu im Kapitel 4 dieser Arbeitshilfen.</w:t>
            </w:r>
          </w:p>
        </w:tc>
      </w:tr>
      <w:tr w:rsidR="00D77159" w:rsidRPr="00D77159" w:rsidTr="005C7519">
        <w:trPr>
          <w:trHeight w:val="397"/>
        </w:trPr>
        <w:tc>
          <w:tcPr>
            <w:tcW w:w="4530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ind w:left="284" w:hanging="284"/>
              <w:rPr>
                <w:rFonts w:ascii="Arial" w:eastAsia="Calibri" w:hAnsi="Arial" w:cs="Arial"/>
                <w:b/>
                <w:sz w:val="20"/>
              </w:rPr>
            </w:pPr>
            <w:r w:rsidRPr="00D77159">
              <w:rPr>
                <w:rFonts w:ascii="Arial" w:eastAsia="Calibri" w:hAnsi="Arial" w:cs="Arial"/>
                <w:b/>
                <w:sz w:val="20"/>
              </w:rPr>
              <w:t>4.</w:t>
            </w:r>
            <w:r w:rsidRPr="00D77159">
              <w:rPr>
                <w:rFonts w:ascii="Arial" w:eastAsia="Calibri" w:hAnsi="Arial" w:cs="Arial"/>
                <w:b/>
                <w:sz w:val="20"/>
              </w:rPr>
              <w:tab/>
              <w:t>Erstellen des Verzeichnisses der</w:t>
            </w:r>
            <w:r w:rsidRPr="00D77159">
              <w:rPr>
                <w:rFonts w:ascii="Arial" w:eastAsia="Calibri" w:hAnsi="Arial" w:cs="Arial"/>
                <w:b/>
                <w:sz w:val="20"/>
              </w:rPr>
              <w:br/>
              <w:t>Verarbeitungstätigkeiten (VV) gem.</w:t>
            </w:r>
            <w:r w:rsidRPr="00D77159">
              <w:rPr>
                <w:rFonts w:ascii="Arial" w:eastAsia="Calibri" w:hAnsi="Arial" w:cs="Arial"/>
                <w:b/>
                <w:sz w:val="20"/>
              </w:rPr>
              <w:br/>
              <w:t>Art. 30 DSGVO</w:t>
            </w:r>
          </w:p>
        </w:tc>
        <w:tc>
          <w:tcPr>
            <w:tcW w:w="4531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numPr>
                <w:ilvl w:val="0"/>
                <w:numId w:val="2"/>
              </w:numPr>
              <w:tabs>
                <w:tab w:val="left" w:pos="431"/>
              </w:tabs>
              <w:spacing w:after="120" w:line="336" w:lineRule="auto"/>
              <w:ind w:left="284" w:hanging="284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>Ausgangspunkt kann das bisherige Verfahrensverzeichnis für automatisierte Verfahren sein.</w:t>
            </w:r>
          </w:p>
          <w:p w:rsidR="00D77159" w:rsidRPr="00D77159" w:rsidRDefault="00D77159" w:rsidP="00D77159">
            <w:pPr>
              <w:numPr>
                <w:ilvl w:val="0"/>
                <w:numId w:val="2"/>
              </w:numPr>
              <w:tabs>
                <w:tab w:val="left" w:pos="431"/>
              </w:tabs>
              <w:spacing w:after="120" w:line="336" w:lineRule="auto"/>
              <w:ind w:left="284" w:hanging="284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>Verwendung des Formblatts</w:t>
            </w:r>
          </w:p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rPr>
                <w:rFonts w:ascii="Arial" w:eastAsia="Calibri" w:hAnsi="Arial" w:cs="Arial"/>
                <w:b/>
                <w:i/>
                <w:sz w:val="20"/>
              </w:rPr>
            </w:pPr>
            <w:r w:rsidRPr="00D77159">
              <w:rPr>
                <w:rFonts w:ascii="Arial" w:eastAsia="Calibri" w:hAnsi="Arial" w:cs="Arial"/>
                <w:b/>
                <w:i/>
                <w:sz w:val="20"/>
              </w:rPr>
              <w:t xml:space="preserve">Siehe Kapitel 6 dieser Arbeitshilfen. </w:t>
            </w:r>
          </w:p>
        </w:tc>
      </w:tr>
      <w:tr w:rsidR="00D77159" w:rsidRPr="00D77159" w:rsidTr="005C7519">
        <w:trPr>
          <w:trHeight w:val="397"/>
        </w:trPr>
        <w:tc>
          <w:tcPr>
            <w:tcW w:w="4530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ind w:left="284" w:hanging="284"/>
              <w:rPr>
                <w:rFonts w:ascii="Arial" w:eastAsia="Calibri" w:hAnsi="Arial" w:cs="Arial"/>
                <w:b/>
                <w:sz w:val="20"/>
              </w:rPr>
            </w:pPr>
            <w:r w:rsidRPr="00D77159">
              <w:rPr>
                <w:rFonts w:ascii="Arial" w:eastAsia="Calibri" w:hAnsi="Arial" w:cs="Arial"/>
                <w:b/>
                <w:sz w:val="20"/>
              </w:rPr>
              <w:t>5.</w:t>
            </w:r>
            <w:r w:rsidRPr="00D77159">
              <w:rPr>
                <w:rFonts w:ascii="Arial" w:eastAsia="Calibri" w:hAnsi="Arial" w:cs="Arial"/>
                <w:b/>
                <w:sz w:val="20"/>
              </w:rPr>
              <w:tab/>
              <w:t>Erstellen von Datenschutzhinweisen auf Vordrucken und im Internet (Art. 12, 13 und 14 DSGVO)</w:t>
            </w:r>
            <w:r w:rsidRPr="00D77159">
              <w:rPr>
                <w:rFonts w:ascii="Arial" w:eastAsia="Calibri" w:hAnsi="Arial" w:cs="Arial"/>
                <w:b/>
                <w:sz w:val="20"/>
                <w:vertAlign w:val="superscript"/>
              </w:rPr>
              <w:footnoteReference w:id="2"/>
            </w:r>
          </w:p>
        </w:tc>
        <w:tc>
          <w:tcPr>
            <w:tcW w:w="4531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after="120" w:line="336" w:lineRule="auto"/>
              <w:rPr>
                <w:rFonts w:ascii="Arial" w:eastAsia="Calibri" w:hAnsi="Arial" w:cs="Arial"/>
                <w:b/>
                <w:i/>
                <w:sz w:val="20"/>
              </w:rPr>
            </w:pPr>
            <w:r w:rsidRPr="00D77159">
              <w:rPr>
                <w:rFonts w:ascii="Arial" w:eastAsia="Calibri" w:hAnsi="Arial" w:cs="Arial"/>
                <w:b/>
                <w:i/>
                <w:sz w:val="20"/>
              </w:rPr>
              <w:t>Siehe hierzu Kapitel 7 und 14 dieser Arbeitshilfen zu den Informationspflichten.</w:t>
            </w:r>
          </w:p>
        </w:tc>
      </w:tr>
      <w:tr w:rsidR="00D77159" w:rsidRPr="00D77159" w:rsidTr="005C7519">
        <w:trPr>
          <w:trHeight w:val="397"/>
        </w:trPr>
        <w:tc>
          <w:tcPr>
            <w:tcW w:w="4530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ind w:left="284" w:hanging="284"/>
              <w:rPr>
                <w:rFonts w:ascii="Arial" w:eastAsia="Calibri" w:hAnsi="Arial"/>
                <w:sz w:val="20"/>
              </w:rPr>
            </w:pPr>
            <w:r w:rsidRPr="00D77159">
              <w:rPr>
                <w:rFonts w:ascii="Arial" w:eastAsia="Calibri" w:hAnsi="Arial" w:cs="Arial"/>
                <w:b/>
                <w:sz w:val="20"/>
              </w:rPr>
              <w:t>6.</w:t>
            </w:r>
            <w:r w:rsidRPr="00D77159">
              <w:rPr>
                <w:rFonts w:ascii="Arial" w:eastAsia="Calibri" w:hAnsi="Arial" w:cs="Arial"/>
                <w:b/>
                <w:sz w:val="20"/>
              </w:rPr>
              <w:tab/>
              <w:t>Abschluss</w:t>
            </w:r>
            <w:r w:rsidRPr="00D77159" w:rsidDel="006D2878">
              <w:rPr>
                <w:rFonts w:ascii="Arial" w:eastAsia="Calibri" w:hAnsi="Arial" w:cs="Arial"/>
                <w:b/>
                <w:sz w:val="20"/>
              </w:rPr>
              <w:t xml:space="preserve"> </w:t>
            </w:r>
            <w:r w:rsidRPr="00D77159">
              <w:rPr>
                <w:rFonts w:ascii="Arial" w:eastAsia="Calibri" w:hAnsi="Arial" w:cs="Arial"/>
                <w:b/>
                <w:sz w:val="20"/>
              </w:rPr>
              <w:t xml:space="preserve">von Verträgen mit geeigneten </w:t>
            </w:r>
            <w:proofErr w:type="spellStart"/>
            <w:r w:rsidRPr="00D77159">
              <w:rPr>
                <w:rFonts w:ascii="Arial" w:eastAsia="Calibri" w:hAnsi="Arial" w:cs="Arial"/>
                <w:b/>
                <w:sz w:val="20"/>
              </w:rPr>
              <w:t>Auftragsverarbeitern</w:t>
            </w:r>
            <w:proofErr w:type="spellEnd"/>
          </w:p>
        </w:tc>
        <w:tc>
          <w:tcPr>
            <w:tcW w:w="4531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after="120" w:line="336" w:lineRule="auto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>Die formellen Vorgaben nach Art. 28 und 29 DSGVO müssen beachtet werden.</w:t>
            </w:r>
          </w:p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b/>
                <w:i/>
                <w:sz w:val="20"/>
              </w:rPr>
              <w:t>Siehe Kapitel 10 dieser Arbeitshilfen</w:t>
            </w:r>
            <w:r w:rsidRPr="00D77159">
              <w:rPr>
                <w:rFonts w:ascii="Arial" w:eastAsia="Calibri" w:hAnsi="Arial" w:cs="Arial"/>
                <w:i/>
                <w:sz w:val="20"/>
              </w:rPr>
              <w:t xml:space="preserve">. </w:t>
            </w:r>
          </w:p>
        </w:tc>
      </w:tr>
      <w:tr w:rsidR="00D77159" w:rsidRPr="00D77159" w:rsidTr="005C7519">
        <w:trPr>
          <w:trHeight w:val="397"/>
        </w:trPr>
        <w:tc>
          <w:tcPr>
            <w:tcW w:w="4530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ind w:left="284" w:hanging="284"/>
              <w:rPr>
                <w:rFonts w:ascii="Arial" w:eastAsia="Calibri" w:hAnsi="Arial" w:cs="Arial"/>
                <w:b/>
                <w:sz w:val="20"/>
              </w:rPr>
            </w:pPr>
            <w:r w:rsidRPr="00D77159">
              <w:rPr>
                <w:rFonts w:ascii="Arial" w:eastAsia="Calibri" w:hAnsi="Arial" w:cs="Arial"/>
                <w:b/>
                <w:sz w:val="20"/>
              </w:rPr>
              <w:t>7.</w:t>
            </w:r>
            <w:r w:rsidRPr="00D77159">
              <w:rPr>
                <w:rFonts w:ascii="Arial" w:eastAsia="Calibri" w:hAnsi="Arial" w:cs="Arial"/>
                <w:b/>
                <w:sz w:val="20"/>
              </w:rPr>
              <w:tab/>
              <w:t xml:space="preserve">(Normen-) Screening </w:t>
            </w:r>
          </w:p>
        </w:tc>
        <w:tc>
          <w:tcPr>
            <w:tcW w:w="4531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>Überprüfung (soweit noch nicht geschehen) von kommunalen Satzungen oder Verordnungen sowie von Dienstvereinbarungen und sonstigen Dienstanweisungen, ob diese mit der DSGVO vereinbar sind.</w:t>
            </w:r>
          </w:p>
        </w:tc>
      </w:tr>
      <w:tr w:rsidR="00D77159" w:rsidRPr="00D77159" w:rsidTr="005C7519">
        <w:trPr>
          <w:trHeight w:val="397"/>
        </w:trPr>
        <w:tc>
          <w:tcPr>
            <w:tcW w:w="4530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ind w:left="284" w:hanging="284"/>
              <w:rPr>
                <w:rFonts w:ascii="Arial" w:eastAsia="Calibri" w:hAnsi="Arial" w:cs="Arial"/>
                <w:b/>
                <w:sz w:val="20"/>
              </w:rPr>
            </w:pPr>
            <w:r w:rsidRPr="00D77159">
              <w:rPr>
                <w:rFonts w:ascii="Arial" w:eastAsia="Calibri" w:hAnsi="Arial" w:cs="Arial"/>
                <w:b/>
                <w:sz w:val="20"/>
              </w:rPr>
              <w:t>8.</w:t>
            </w:r>
            <w:r w:rsidRPr="00D77159">
              <w:rPr>
                <w:rFonts w:ascii="Arial" w:eastAsia="Calibri" w:hAnsi="Arial" w:cs="Arial"/>
                <w:b/>
                <w:sz w:val="20"/>
              </w:rPr>
              <w:tab/>
              <w:t xml:space="preserve">Technische und organisatorische Maßnahmen zum Schutz personenbezogener Daten, insbesondere sind Verfahren auf datenschutzfreundliche Voreinstellungen zu überprüfen </w:t>
            </w:r>
          </w:p>
        </w:tc>
        <w:tc>
          <w:tcPr>
            <w:tcW w:w="4531" w:type="dxa"/>
            <w:tcMar>
              <w:top w:w="57" w:type="dxa"/>
              <w:bottom w:w="57" w:type="dxa"/>
            </w:tcMar>
          </w:tcPr>
          <w:p w:rsidR="00D77159" w:rsidRPr="00D77159" w:rsidRDefault="00D77159" w:rsidP="00D77159">
            <w:pPr>
              <w:tabs>
                <w:tab w:val="left" w:pos="709"/>
              </w:tabs>
              <w:spacing w:line="336" w:lineRule="auto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>Abstimmung der Schnittmengen mit der IT-Sicherheit:</w:t>
            </w:r>
          </w:p>
          <w:p w:rsidR="00D77159" w:rsidRPr="00D77159" w:rsidRDefault="00D77159" w:rsidP="00D77159">
            <w:pPr>
              <w:tabs>
                <w:tab w:val="left" w:pos="709"/>
              </w:tabs>
              <w:spacing w:after="120" w:line="336" w:lineRule="auto"/>
              <w:rPr>
                <w:rFonts w:ascii="Arial" w:eastAsia="Calibri" w:hAnsi="Arial" w:cs="Arial"/>
                <w:i/>
                <w:sz w:val="20"/>
              </w:rPr>
            </w:pPr>
            <w:r w:rsidRPr="00D77159">
              <w:rPr>
                <w:rFonts w:ascii="Arial" w:eastAsia="Calibri" w:hAnsi="Arial" w:cs="Arial"/>
                <w:i/>
                <w:sz w:val="20"/>
              </w:rPr>
              <w:t>Vermeidung von doppelten Strukturen hinsichtlich des „technischen“ Datenschutzes; bei technisch-organisatorischen Maßnahmen kann auf ein vorhandenes IT-Sicherheitskonzept hingewiesen werden, wenn dieses die datenschutzrechtlichen Anforderungen erfüllt.</w:t>
            </w:r>
          </w:p>
        </w:tc>
      </w:tr>
    </w:tbl>
    <w:p w:rsidR="0073244C" w:rsidRDefault="0073244C"/>
    <w:sectPr w:rsidR="007324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59" w:rsidRDefault="00D77159" w:rsidP="00D77159">
      <w:pPr>
        <w:spacing w:after="0" w:line="240" w:lineRule="auto"/>
      </w:pPr>
      <w:r>
        <w:separator/>
      </w:r>
    </w:p>
  </w:endnote>
  <w:endnote w:type="continuationSeparator" w:id="0">
    <w:p w:rsidR="00D77159" w:rsidRDefault="00D77159" w:rsidP="00D7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59" w:rsidRDefault="00D77159" w:rsidP="00D77159">
      <w:pPr>
        <w:spacing w:after="0" w:line="240" w:lineRule="auto"/>
      </w:pPr>
      <w:r>
        <w:separator/>
      </w:r>
    </w:p>
  </w:footnote>
  <w:footnote w:type="continuationSeparator" w:id="0">
    <w:p w:rsidR="00D77159" w:rsidRDefault="00D77159" w:rsidP="00D77159">
      <w:pPr>
        <w:spacing w:after="0" w:line="240" w:lineRule="auto"/>
      </w:pPr>
      <w:r>
        <w:continuationSeparator/>
      </w:r>
    </w:p>
  </w:footnote>
  <w:footnote w:id="1">
    <w:p w:rsidR="00D77159" w:rsidRDefault="00D77159" w:rsidP="00D7715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120D1">
        <w:t xml:space="preserve">Internetformular </w:t>
      </w:r>
      <w:hyperlink r:id="rId1" w:history="1">
        <w:r w:rsidRPr="00045A41">
          <w:rPr>
            <w:rStyle w:val="Hyperlink1"/>
          </w:rPr>
          <w:t>https://www.datenschutz-bayern.de/service/bdsb.html</w:t>
        </w:r>
      </w:hyperlink>
      <w:r>
        <w:t xml:space="preserve">. </w:t>
      </w:r>
    </w:p>
  </w:footnote>
  <w:footnote w:id="2">
    <w:p w:rsidR="00D77159" w:rsidRDefault="00D77159" w:rsidP="00D7715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722C1F">
        <w:t xml:space="preserve">Vgl. </w:t>
      </w:r>
      <w:r>
        <w:t xml:space="preserve">Fragen und Antworten des </w:t>
      </w:r>
      <w:proofErr w:type="spellStart"/>
      <w:r>
        <w:t>LfD</w:t>
      </w:r>
      <w:proofErr w:type="spellEnd"/>
      <w:r>
        <w:t xml:space="preserve">, Arbeitspapier des </w:t>
      </w:r>
      <w:proofErr w:type="spellStart"/>
      <w:r>
        <w:t>LfD</w:t>
      </w:r>
      <w:proofErr w:type="spellEnd"/>
      <w:r>
        <w:t xml:space="preserve"> zu offenkundig unbegründeten und exzessiven Anträgen (Art. 12 Abs. 5 DSGVO), </w:t>
      </w:r>
      <w:hyperlink r:id="rId2" w:history="1">
        <w:r w:rsidRPr="00C92C12">
          <w:rPr>
            <w:rStyle w:val="Hyperlink1"/>
          </w:rPr>
          <w:t>https://www.datenschutz-bayern.de/datenschutzreform2018/AP_ExzessiveAntraege.pdf</w:t>
        </w:r>
      </w:hyperlink>
      <w:r>
        <w:t xml:space="preserve"> sowie speziell </w:t>
      </w:r>
      <w:r w:rsidRPr="00722C1F">
        <w:t xml:space="preserve">für die Datenverarbeitung im Sozialleistungsbereich auch </w:t>
      </w:r>
      <w:proofErr w:type="spellStart"/>
      <w:r w:rsidRPr="00722C1F">
        <w:t>LfD</w:t>
      </w:r>
      <w:proofErr w:type="spellEnd"/>
      <w:r w:rsidRPr="00722C1F">
        <w:t xml:space="preserve">, </w:t>
      </w:r>
      <w:hyperlink r:id="rId3" w:history="1">
        <w:r w:rsidRPr="00C92C12">
          <w:rPr>
            <w:rStyle w:val="Hyperlink1"/>
          </w:rPr>
          <w:t>https://www.datenschutz-bayern.de/datenschutzreform2018/SGB.html</w:t>
        </w:r>
      </w:hyperlink>
      <w:r>
        <w:rPr>
          <w:rStyle w:val="Hyperlink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5F4A"/>
    <w:multiLevelType w:val="hybridMultilevel"/>
    <w:tmpl w:val="C900AE4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2048F1"/>
    <w:multiLevelType w:val="hybridMultilevel"/>
    <w:tmpl w:val="C900AE4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59"/>
    <w:rsid w:val="0073244C"/>
    <w:rsid w:val="00A3576E"/>
    <w:rsid w:val="00D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3AF6E-2B02-4E01-BF0E-E05EEE82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yperlink1">
    <w:name w:val="Hyperlink1"/>
    <w:basedOn w:val="Absatz-Standardschriftart"/>
    <w:uiPriority w:val="99"/>
    <w:unhideWhenUsed/>
    <w:rsid w:val="00D77159"/>
    <w:rPr>
      <w:color w:val="0000FF"/>
      <w:u w:val="single"/>
    </w:rPr>
  </w:style>
  <w:style w:type="table" w:customStyle="1" w:styleId="Tabellenraster1">
    <w:name w:val="Tabellenraster1"/>
    <w:basedOn w:val="NormaleTabelle"/>
    <w:next w:val="Tabellenraster"/>
    <w:rsid w:val="00D77159"/>
    <w:pPr>
      <w:spacing w:after="0" w:line="240" w:lineRule="auto"/>
    </w:pPr>
    <w:rPr>
      <w:rFonts w:ascii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rsid w:val="00D7715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77159"/>
    <w:rPr>
      <w:rFonts w:ascii="Arial" w:eastAsia="Times New Roman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rsid w:val="00D77159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D7715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D7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atenschutz-bayern.de/datenschutzreform2018/SGB.html" TargetMode="External"/><Relationship Id="rId2" Type="http://schemas.openxmlformats.org/officeDocument/2006/relationships/hyperlink" Target="https://www.datenschutz-bayern.de/datenschutzreform2018/AP_ExzessiveAntraege.pdf" TargetMode="External"/><Relationship Id="rId1" Type="http://schemas.openxmlformats.org/officeDocument/2006/relationships/hyperlink" Target="https://www.datenschutz-bayern.de/service/bdsb.htm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2603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Rackl, Gabriel (StMI)</dc:creator>
  <cp:keywords/>
  <dc:description/>
  <cp:lastModifiedBy>Rohloff, Claudia (StMI)</cp:lastModifiedBy>
  <cp:revision>2</cp:revision>
  <dcterms:created xsi:type="dcterms:W3CDTF">2022-03-31T14:33:00Z</dcterms:created>
  <dcterms:modified xsi:type="dcterms:W3CDTF">2022-03-31T14:33:00Z</dcterms:modified>
</cp:coreProperties>
</file>